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r>
        <w:rPr>
          <w:rFonts w:ascii="Arial" w:cs="Arial" w:eastAsia="Arial" w:hAnsi="Arial"/>
          <w:color w:val="6B7280"/>
          <w:sz w:val="18"/>
          <w:szCs w:val="18"/>
        </w:rPr>
        <w:t xml:space="preserve">Düsseldorf, 21. April 2026</w:t>
      </w:r>
    </w:p>
    <w:p>
      <w:pPr>
        <w:spacing w:after="120" w:before="80"/>
      </w:pPr>
      <w:r>
        <w:rPr>
          <w:rFonts w:ascii="Arial" w:cs="Arial" w:eastAsia="Arial" w:hAnsi="Arial"/>
          <w:b/>
          <w:bCs/>
          <w:color w:val="003366"/>
          <w:sz w:val="36"/>
          <w:szCs w:val="36"/>
        </w:rPr>
        <w:t xml:space="preserve">Schluss mit der Zettelwirtschaft: Düsseldorfer Startup heykaution launcht kostenloses digitales Mietkautionskonto für private Vermieter</w:t>
      </w:r>
    </w:p>
    <w:p>
      <w:pPr>
        <w:pBdr>
          <w:bottom w:val="single" w:color="E5E7EB" w:sz="1" w:space="6"/>
        </w:pBdr>
        <w:spacing w:after="160" w:before="0"/>
      </w:pPr>
      <w:r>
        <w:rPr>
          <w:rFonts w:ascii="Arial" w:cs="Arial" w:eastAsia="Arial" w:hAnsi="Arial"/>
          <w:i/>
          <w:iCs/>
          <w:color w:val="6B7280"/>
          <w:sz w:val="22"/>
          <w:szCs w:val="22"/>
        </w:rPr>
        <w:t xml:space="preserve">Mietkautionen in Minuten online anlegen, gesetzeskonform nach § 551 BGB verwalten und digital auszahlen – als einziger Anbieter am Markt komplett gebührenfrei und mit einer deutschen Partnerbank (VR Bank) im Hintergrund.</w:t>
      </w: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5016"/>
        <w:gridCol w:w="4422"/>
      </w:tblGrid>
      <w:tr>
        <w:tc>
          <w:tcPr>
            <w:tcW w:type="dxa" w:w="5016"/>
            <w:tcBorders>
              <w:top w:val="none" w:color="FFFFFF" w:sz="0"/>
              <w:left w:val="none" w:color="FFFFFF" w:sz="0"/>
              <w:bottom w:val="none" w:color="FFFFFF" w:sz="0"/>
              <w:right w:val="none" w:color="FFFFFF" w:sz="0"/>
            </w:tcBorders>
            <w:tcMar>
              <w:top w:type="dxa" w:w="0"/>
              <w:left w:type="dxa" w:w="0"/>
              <w:bottom w:type="dxa" w:w="0"/>
              <w:right w:type="dxa" w:w="200"/>
            </w:tcMar>
            <w:vAlign w:val="top"/>
          </w:tcPr>
          <w:p>
            <w:pPr>
              <w:spacing w:after="100" w:before="0"/>
              <w:jc w:val="both"/>
            </w:pPr>
            <w:r>
              <w:rPr>
                <w:rFonts w:ascii="Arial" w:cs="Arial" w:eastAsia="Arial" w:hAnsi="Arial"/>
                <w:color w:val="374151"/>
                <w:sz w:val="20"/>
                <w:szCs w:val="20"/>
              </w:rPr>
              <w:t xml:space="preserve">Während viele Filialbanken das klassische Mietkautionssparbuch durch hohe Gebühren unattraktiv machen, bietet das Düsseldorfer Startup heykaution ab sofort die erste rein digitale Lösung, die Sicherheit und Kostenfreiheit vereint. Als aktuell einziger Anbieter ermöglicht heykaution privaten Vermieter:innen die rechtssichere Verwaltung von Mietkautionen über eine deutsche Bank – ohne Kontoführungsgebühren und ohne physischen Banktermin.</w:t>
            </w:r>
          </w:p>
        </w:tc>
        <w:tc>
          <w:tcPr>
            <w:tcW w:type="dxa" w:w="4422"/>
            <w:tcBorders>
              <w:top w:val="none" w:color="FFFFFF" w:sz="0"/>
              <w:left w:val="none" w:color="FFFFFF" w:sz="0"/>
              <w:bottom w:val="none" w:color="FFFFFF" w:sz="0"/>
              <w:right w:val="none" w:color="FFFFFF" w:sz="0"/>
            </w:tcBorders>
            <w:tcMar>
              <w:top w:type="dxa" w:w="0"/>
              <w:left w:type="dxa" w:w="0"/>
              <w:bottom w:type="dxa" w:w="0"/>
              <w:right w:type="dxa" w:w="0"/>
            </w:tcMar>
            <w:vAlign w:val="top"/>
          </w:tcPr>
          <w:p>
            <w:r>
              <w:drawing>
                <wp:inline distT="0" distB="0" distL="0" distR="0">
                  <wp:extent cx="26745914250" cy="14304406875"/>
                  <wp:effectExtent t="0" r="0" b="0" l="0"/>
                  <wp:docPr id="1" name="dashboard" descr="heykaution Dashboard" title="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6745914250" cy="14304406875"/>
                          </a:xfrm>
                          <a:prstGeom prst="rect">
                            <a:avLst/>
                          </a:prstGeom>
                        </pic:spPr>
                      </pic:pic>
                    </a:graphicData>
                  </a:graphic>
                </wp:inline>
              </w:drawing>
            </w:r>
          </w:p>
        </w:tc>
      </w:tr>
    </w:tbl>
    <w:p>
      <w:pPr>
        <w:spacing w:after="80" w:before="200"/>
      </w:pPr>
      <w:r>
        <w:rPr>
          <w:rFonts w:ascii="Arial" w:cs="Arial" w:eastAsia="Arial" w:hAnsi="Arial"/>
          <w:b/>
          <w:bCs/>
          <w:color w:val="003366"/>
          <w:sz w:val="22"/>
          <w:szCs w:val="22"/>
        </w:rPr>
        <w:t xml:space="preserve">Digitaler Standard statt Bankbesuch</w:t>
      </w:r>
    </w:p>
    <w:p>
      <w:pPr>
        <w:spacing w:after="100" w:before="0"/>
        <w:jc w:val="both"/>
      </w:pPr>
      <w:r>
        <w:rPr>
          <w:rFonts w:ascii="Arial" w:cs="Arial" w:eastAsia="Arial" w:hAnsi="Arial"/>
          <w:color w:val="374151"/>
          <w:sz w:val="20"/>
          <w:szCs w:val="20"/>
        </w:rPr>
        <w:t xml:space="preserve">Die Verwaltung von Mietkautionen gehört für die rund 3,9 Millionen privaten Vermieter in Deutschland oft zu den zeitaufwendigsten Aufgaben. heykaution bricht mit dieser Tradition:</w:t>
      </w:r>
    </w:p>
    <w:p>
      <w:pPr>
        <w:pStyle w:val="ListParagraph"/>
        <w:numPr>
          <w:ilvl w:val="0"/>
          <w:numId w:val="2"/>
        </w:numPr>
        <w:spacing w:after="40" w:before="40"/>
        <w:jc w:val="both"/>
      </w:pPr>
      <w:r>
        <w:rPr>
          <w:rFonts w:ascii="Arial" w:cs="Arial" w:eastAsia="Arial" w:hAnsi="Arial"/>
          <w:b/>
          <w:bCs/>
          <w:color w:val="374151"/>
          <w:sz w:val="20"/>
          <w:szCs w:val="20"/>
        </w:rPr>
        <w:t xml:space="preserve">Kontoeröffnung in 5 Minuten:</w:t>
      </w:r>
      <w:r>
        <w:rPr>
          <w:rFonts w:ascii="Arial" w:cs="Arial" w:eastAsia="Arial" w:hAnsi="Arial"/>
          <w:color w:val="374151"/>
          <w:sz w:val="20"/>
          <w:szCs w:val="20"/>
        </w:rPr>
        <w:t xml:space="preserve"> Identifizierung bequem per Video-Ident.</w:t>
      </w:r>
    </w:p>
    <w:p>
      <w:pPr>
        <w:pStyle w:val="ListParagraph"/>
        <w:numPr>
          <w:ilvl w:val="0"/>
          <w:numId w:val="2"/>
        </w:numPr>
        <w:spacing w:after="40" w:before="40"/>
        <w:jc w:val="both"/>
      </w:pPr>
      <w:r>
        <w:rPr>
          <w:rFonts w:ascii="Arial" w:cs="Arial" w:eastAsia="Arial" w:hAnsi="Arial"/>
          <w:b/>
          <w:bCs/>
          <w:color w:val="374151"/>
          <w:sz w:val="20"/>
          <w:szCs w:val="20"/>
        </w:rPr>
        <w:t xml:space="preserve">Sicherheit „Made in Germany“:</w:t>
      </w:r>
      <w:r>
        <w:rPr>
          <w:rFonts w:ascii="Arial" w:cs="Arial" w:eastAsia="Arial" w:hAnsi="Arial"/>
          <w:color w:val="374151"/>
          <w:sz w:val="20"/>
          <w:szCs w:val="20"/>
        </w:rPr>
        <w:t xml:space="preserve"> Einzigartige Kombination aus komplett digitalem Prozess und der Sicherheit einer deutschen Partnerbank.</w:t>
      </w:r>
    </w:p>
    <w:p>
      <w:pPr>
        <w:pStyle w:val="ListParagraph"/>
        <w:numPr>
          <w:ilvl w:val="0"/>
          <w:numId w:val="2"/>
        </w:numPr>
        <w:spacing w:after="40" w:before="40"/>
        <w:jc w:val="both"/>
      </w:pPr>
      <w:r>
        <w:rPr>
          <w:rFonts w:ascii="Arial" w:cs="Arial" w:eastAsia="Arial" w:hAnsi="Arial"/>
          <w:b/>
          <w:bCs/>
          <w:color w:val="374151"/>
          <w:sz w:val="20"/>
          <w:szCs w:val="20"/>
        </w:rPr>
        <w:t xml:space="preserve">Individuelle IBAN:</w:t>
      </w:r>
      <w:r>
        <w:rPr>
          <w:rFonts w:ascii="Arial" w:cs="Arial" w:eastAsia="Arial" w:hAnsi="Arial"/>
          <w:color w:val="374151"/>
          <w:sz w:val="20"/>
          <w:szCs w:val="20"/>
        </w:rPr>
        <w:t xml:space="preserve"> Pro Mietverhältnis wird eine eigene IBAN generiert, was die Zuordnung von Zahlungen automatisiert.</w:t>
      </w:r>
    </w:p>
    <w:p>
      <w:pPr>
        <w:pStyle w:val="ListParagraph"/>
        <w:numPr>
          <w:ilvl w:val="0"/>
          <w:numId w:val="2"/>
        </w:numPr>
        <w:spacing w:after="40" w:before="40"/>
        <w:jc w:val="both"/>
      </w:pPr>
      <w:r>
        <w:rPr>
          <w:rFonts w:ascii="Arial" w:cs="Arial" w:eastAsia="Arial" w:hAnsi="Arial"/>
          <w:b/>
          <w:bCs/>
          <w:color w:val="374151"/>
          <w:sz w:val="20"/>
          <w:szCs w:val="20"/>
        </w:rPr>
        <w:t xml:space="preserve">Digitale Auszahlung:</w:t>
      </w:r>
      <w:r>
        <w:rPr>
          <w:rFonts w:ascii="Arial" w:cs="Arial" w:eastAsia="Arial" w:hAnsi="Arial"/>
          <w:color w:val="374151"/>
          <w:sz w:val="20"/>
          <w:szCs w:val="20"/>
        </w:rPr>
        <w:t xml:space="preserve"> Freigaben und (Teil-)Auszahlungen lassen sich am Mietende rechtssicher per Klick anstoßen.</w:t>
      </w:r>
    </w:p>
    <w:p>
      <w:pPr>
        <w:spacing w:after="80" w:before="200"/>
      </w:pPr>
      <w:r>
        <w:rPr>
          <w:rFonts w:ascii="Arial" w:cs="Arial" w:eastAsia="Arial" w:hAnsi="Arial"/>
          <w:b/>
          <w:bCs/>
          <w:color w:val="003366"/>
          <w:sz w:val="22"/>
          <w:szCs w:val="22"/>
        </w:rPr>
        <w:t xml:space="preserve">Ende der riskanten Grauzone</w:t>
      </w:r>
    </w:p>
    <w:p>
      <w:pPr>
        <w:spacing w:after="100" w:before="0"/>
        <w:jc w:val="both"/>
      </w:pPr>
      <w:r>
        <w:rPr>
          <w:rFonts w:ascii="Arial" w:cs="Arial" w:eastAsia="Arial" w:hAnsi="Arial"/>
          <w:color w:val="374151"/>
          <w:sz w:val="20"/>
          <w:szCs w:val="20"/>
        </w:rPr>
        <w:t xml:space="preserve">Gemäß § 551 BGB ist die Mietkaution zwingend getrennt vom persönlichen Vermögen des Vermieters anzulegen. In der Praxis führt der hohe administrative Aufwand bei Filialbanken jedoch oft zu einer riskanten Grauzone: Viele private Vermieter verwalten die Kaution mangels einfacher Alternativen auf dem eigenen Girokonto – ein klarer Rechtsverstoß, der im Ernstfall zu massiven Haftungsproblemen führen kann. heykaution löst dieses Problem durch einen automatisierten Prozess, der die gesetzlich geforderte Insolvenzfestigkeit garantiert.</w:t>
      </w: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7454"/>
        <w:gridCol w:w="1984"/>
      </w:tblGrid>
      <w:tr>
        <w:tc>
          <w:tcPr>
            <w:tcW w:type="dxa" w:w="7454"/>
            <w:tcBorders>
              <w:top w:val="none" w:color="FFFFFF" w:sz="0"/>
              <w:left w:val="none" w:color="FFFFFF" w:sz="0"/>
              <w:bottom w:val="none" w:color="FFFFFF" w:sz="0"/>
              <w:right w:val="none" w:color="FFFFFF" w:sz="0"/>
            </w:tcBorders>
            <w:tcMar>
              <w:top w:type="dxa" w:w="0"/>
              <w:left w:type="dxa" w:w="0"/>
              <w:bottom w:type="dxa" w:w="0"/>
              <w:right w:type="dxa" w:w="200"/>
            </w:tcMar>
            <w:vAlign w:val="center"/>
          </w:tcPr>
          <w:p>
            <w:pPr>
              <w:pBdr>
                <w:left w:val="thick" w:color="00A878" w:sz="12" w:space="12"/>
              </w:pBdr>
              <w:spacing w:after="60" w:before="120"/>
              <w:ind w:left="0" w:right="0"/>
              <w:jc w:val="both"/>
            </w:pPr>
            <w:r>
              <w:rPr>
                <w:rFonts w:ascii="Arial" w:cs="Arial" w:eastAsia="Arial" w:hAnsi="Arial"/>
                <w:i/>
                <w:iCs/>
                <w:color w:val="374151"/>
                <w:sz w:val="20"/>
                <w:szCs w:val="20"/>
              </w:rPr>
              <w:t xml:space="preserve">„Viele private Vermieter:innen fühlen sich von veralteten Bankstrukturen und steigenden Gebühren im Stich gelassen und weichen aus Bequemlichkeit auf private Konten aus. Wir sind der einzige Anbieter, der eine 100 % digitale Kautionsverwaltung über eine deutsche Partnerbank anbietet, die für den Vermieter und Mieter kostenlos ist. Wir befreien Vermieter aus der Haftungsfalle und verbinden modernste Technologie mit höchster Einlagensicherheit.“</w:t>
            </w:r>
          </w:p>
          <w:p>
            <w:pPr>
              <w:spacing w:after="160" w:before="0"/>
              <w:ind w:left="220"/>
            </w:pPr>
            <w:r>
              <w:rPr>
                <w:rFonts w:ascii="Arial" w:cs="Arial" w:eastAsia="Arial" w:hAnsi="Arial"/>
                <w:b/>
                <w:bCs/>
                <w:color w:val="00A878"/>
                <w:sz w:val="18"/>
                <w:szCs w:val="18"/>
              </w:rPr>
              <w:t xml:space="preserve">— Robert Litwak, Geschäftsführer von heykaution</w:t>
            </w:r>
          </w:p>
        </w:tc>
        <w:tc>
          <w:tcPr>
            <w:tcW w:type="dxa" w:w="1984"/>
            <w:tcBorders>
              <w:top w:val="none" w:color="FFFFFF" w:sz="0"/>
              <w:left w:val="none" w:color="FFFFFF" w:sz="0"/>
              <w:bottom w:val="none" w:color="FFFFFF" w:sz="0"/>
              <w:right w:val="none" w:color="FFFFFF" w:sz="0"/>
            </w:tcBorders>
            <w:tcMar>
              <w:top w:type="dxa" w:w="0"/>
              <w:left w:type="dxa" w:w="0"/>
              <w:bottom w:type="dxa" w:w="0"/>
              <w:right w:type="dxa" w:w="0"/>
            </w:tcMar>
            <w:vAlign w:val="center"/>
          </w:tcPr>
          <w:p>
            <w:r>
              <w:drawing>
                <wp:inline distT="0" distB="0" distL="0" distR="0">
                  <wp:extent cx="11999976000" cy="17999964000"/>
                  <wp:effectExtent t="0" r="0" b="0" l="0"/>
                  <wp:docPr id="1" name="robert-litwak" descr="Robert Litwak, Geschäftsführer heykaution" title="Robert Litw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999976000" cy="17999964000"/>
                          </a:xfrm>
                          <a:prstGeom prst="rect">
                            <a:avLst/>
                          </a:prstGeom>
                        </pic:spPr>
                      </pic:pic>
                    </a:graphicData>
                  </a:graphic>
                </wp:inline>
              </w:drawing>
            </w:r>
          </w:p>
        </w:tc>
      </w:tr>
    </w:tbl>
    <w:p>
      <w:pPr>
        <w:spacing w:after="80" w:before="200"/>
      </w:pPr>
      <w:r>
        <w:rPr>
          <w:rFonts w:ascii="Arial" w:cs="Arial" w:eastAsia="Arial" w:hAnsi="Arial"/>
          <w:b/>
          <w:bCs/>
          <w:color w:val="003366"/>
          <w:sz w:val="22"/>
          <w:szCs w:val="22"/>
        </w:rPr>
        <w:t xml:space="preserve">Relevanz für den Wohnungsmarkt</w:t>
      </w:r>
    </w:p>
    <w:p>
      <w:pPr>
        <w:spacing w:after="100" w:before="0"/>
        <w:jc w:val="both"/>
      </w:pPr>
      <w:r>
        <w:rPr>
          <w:rFonts w:ascii="Arial" w:cs="Arial" w:eastAsia="Arial" w:hAnsi="Arial"/>
          <w:color w:val="374151"/>
          <w:sz w:val="20"/>
          <w:szCs w:val="20"/>
        </w:rPr>
        <w:t xml:space="preserve">In Deutschland wohnen über 50 % der Haushalte zur Miete. Der administrative Aufwand für Kautionen ist für Vermieter immens. Durch die Zentralisierung aller Kautionen in einem digitalen Dashboard reduziert heykaution den Zeitaufwand um bis zu 90 % und bietet gleichzeitig einen professionellen Prozess, der die Mieter-Vermieter-Beziehung von Anfang an entlastet.</w:t>
      </w:r>
    </w:p>
    <w:p>
      <w:pPr>
        <w:pBdr>
          <w:top w:val="single" w:color="E5E7EB" w:sz="1" w:space="6"/>
        </w:pBdr>
        <w:spacing w:after="60" w:before="200"/>
      </w:pPr>
      <w:r>
        <w:rPr>
          <w:rFonts w:ascii="Arial" w:cs="Arial" w:eastAsia="Arial" w:hAnsi="Arial"/>
          <w:b/>
          <w:bCs/>
          <w:color w:val="003366"/>
          <w:sz w:val="20"/>
          <w:szCs w:val="20"/>
        </w:rPr>
        <w:t xml:space="preserve">Über heykaution und plusForta</w:t>
      </w:r>
    </w:p>
    <w:p>
      <w:pPr>
        <w:spacing w:after="160" w:before="0"/>
        <w:jc w:val="both"/>
      </w:pPr>
      <w:r>
        <w:rPr>
          <w:rFonts w:ascii="Arial" w:cs="Arial" w:eastAsia="Arial" w:hAnsi="Arial"/>
          <w:color w:val="6B7280"/>
          <w:sz w:val="18"/>
          <w:szCs w:val="18"/>
        </w:rPr>
        <w:t xml:space="preserve">heykaution ist die digitale Kautionslösung der plusForta GmbH. plusForta ist seit 2008 der führende Vermittler von Mietkautionsbürgschaften in Deutschland. Mit über 2.000 Partnern ist das Düsseldorfer Unternehmen tief in der Immobilienwirtschaft vernetzt und gehört seit 2019 zur Aareal Bank Gruppe. Mit heykaution bietet plusForta erstmals ein komplett digitales und kostenloses Kautionskonto an, das die Sicherheit einer großen deutschen Bankengruppe mit der Agilität eines PropTechs verbindet.</w:t>
      </w:r>
    </w:p>
    <w:p>
      <w:pPr>
        <w:pBdr>
          <w:top w:val="single" w:color="E5E7EB" w:sz="1" w:space="6"/>
        </w:pBdr>
        <w:spacing w:after="80" w:before="0"/>
      </w:pPr>
      <w:r>
        <w:rPr>
          <w:rFonts w:ascii="Arial" w:cs="Arial" w:eastAsia="Arial" w:hAnsi="Arial"/>
          <w:b/>
          <w:bCs/>
          <w:color w:val="003366"/>
          <w:sz w:val="20"/>
          <w:szCs w:val="20"/>
        </w:rPr>
        <w:t xml:space="preserve">Pressekontakt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5E7EB" w:sz="1"/>
              <w:left w:val="single" w:color="E5E7EB" w:sz="1"/>
              <w:bottom w:val="single" w:color="E5E7EB" w:sz="1"/>
              <w:right w:val="single" w:color="E5E7EB" w:sz="1"/>
            </w:tcBorders>
            <w:shd w:fill="F5F7FA" w:val="clear"/>
            <w:tcMar>
              <w:top w:type="dxa" w:w="100"/>
              <w:left w:type="dxa" w:w="140"/>
              <w:bottom w:type="dxa" w:w="100"/>
              <w:right w:type="dxa" w:w="140"/>
            </w:tcMar>
          </w:tcPr>
          <w:p>
            <w:pPr>
              <w:spacing w:after="40"/>
            </w:pPr>
            <w:r>
              <w:rPr>
                <w:rFonts w:ascii="Arial" w:cs="Arial" w:eastAsia="Arial" w:hAnsi="Arial"/>
                <w:b/>
                <w:bCs/>
                <w:color w:val="003366"/>
                <w:sz w:val="18"/>
                <w:szCs w:val="18"/>
              </w:rPr>
              <w:t xml:space="preserve">Robert Litwak (Geschäftsführer)</w:t>
            </w:r>
          </w:p>
          <w:p>
            <w:pPr>
              <w:spacing w:after="40"/>
            </w:pPr>
            <w:r>
              <w:rPr>
                <w:rFonts w:ascii="Arial" w:cs="Arial" w:eastAsia="Arial" w:hAnsi="Arial"/>
                <w:color w:val="374151"/>
                <w:sz w:val="18"/>
                <w:szCs w:val="18"/>
              </w:rPr>
              <w:t xml:space="preserve">presse@heykaution.de</w:t>
            </w:r>
          </w:p>
          <w:p>
            <w:pPr>
              <w:spacing w:after="40"/>
            </w:pPr>
            <w:r>
              <w:rPr>
                <w:rFonts w:ascii="Arial" w:cs="Arial" w:eastAsia="Arial" w:hAnsi="Arial"/>
                <w:color w:val="374151"/>
                <w:sz w:val="18"/>
                <w:szCs w:val="18"/>
              </w:rPr>
              <w:t xml:space="preserve">+49 (211) 54 26 83 - 0</w:t>
            </w:r>
          </w:p>
          <w:p>
            <w:r>
              <w:rPr>
                <w:rFonts w:ascii="Arial" w:cs="Arial" w:eastAsia="Arial" w:hAnsi="Arial"/>
                <w:color w:val="00A878"/>
                <w:sz w:val="18"/>
                <w:szCs w:val="18"/>
              </w:rPr>
              <w:t xml:space="preserve">www.heykaution.de</w:t>
            </w:r>
          </w:p>
        </w:tc>
        <w:tc>
          <w:tcPr>
            <w:tcW w:type="dxa" w:w="4819"/>
            <w:tcBorders>
              <w:top w:val="single" w:color="E5E7EB" w:sz="1"/>
              <w:left w:val="single" w:color="E5E7EB" w:sz="1"/>
              <w:bottom w:val="single" w:color="E5E7EB" w:sz="1"/>
              <w:right w:val="single" w:color="E5E7EB" w:sz="1"/>
            </w:tcBorders>
            <w:shd w:fill="F5F7FA" w:val="clear"/>
            <w:tcMar>
              <w:top w:type="dxa" w:w="100"/>
              <w:left w:type="dxa" w:w="140"/>
              <w:bottom w:type="dxa" w:w="100"/>
              <w:right w:type="dxa" w:w="140"/>
            </w:tcMar>
          </w:tcPr>
          <w:p>
            <w:pPr>
              <w:spacing w:after="40"/>
            </w:pPr>
            <w:r>
              <w:rPr>
                <w:rFonts w:ascii="Arial" w:cs="Arial" w:eastAsia="Arial" w:hAnsi="Arial"/>
                <w:b/>
                <w:bCs/>
                <w:color w:val="003366"/>
                <w:sz w:val="18"/>
                <w:szCs w:val="18"/>
              </w:rPr>
              <w:t xml:space="preserve">plusForta GmbH</w:t>
            </w:r>
          </w:p>
          <w:p>
            <w:pPr>
              <w:spacing w:after="40"/>
            </w:pPr>
            <w:r>
              <w:rPr>
                <w:rFonts w:ascii="Arial" w:cs="Arial" w:eastAsia="Arial" w:hAnsi="Arial"/>
                <w:color w:val="374151"/>
                <w:sz w:val="18"/>
                <w:szCs w:val="18"/>
              </w:rPr>
              <w:t xml:space="preserve">Talstr. 24, 40217 Düsseldorf</w:t>
            </w:r>
          </w:p>
          <w:p>
            <w:pPr>
              <w:spacing w:after="40"/>
            </w:pPr>
            <w:r>
              <w:rPr>
                <w:rFonts w:ascii="Arial" w:cs="Arial" w:eastAsia="Arial" w:hAnsi="Arial"/>
                <w:color w:val="374151"/>
                <w:sz w:val="18"/>
                <w:szCs w:val="18"/>
              </w:rPr>
              <w:t xml:space="preserve">Amtsgericht Düsseldorf HRB 56684</w:t>
            </w:r>
          </w:p>
          <w:p>
            <w:r>
              <w:rPr>
                <w:rFonts w:ascii="Arial" w:cs="Arial" w:eastAsia="Arial" w:hAnsi="Arial"/>
                <w:color w:val="374151"/>
                <w:sz w:val="18"/>
                <w:szCs w:val="18"/>
              </w:rPr>
              <w:t xml:space="preserve">Tochtergesellschaft der Aareal Bank Gruppe</w:t>
            </w:r>
          </w:p>
        </w:tc>
      </w:tr>
    </w:tbl>
    <w:sectPr>
      <w:headerReference w:type="default" r:id="rId7"/>
      <w:footerReference w:type="default" r:id="rId8"/>
      <w:pgSz w:w="11906" w:h="16838" w:orient="portrait"/>
      <w:pgMar w:top="850"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space="6"/>
      </w:pBdr>
      <w:jc w:val="center"/>
    </w:pPr>
    <w:r>
      <w:rPr>
        <w:rFonts w:ascii="Arial" w:cs="Arial" w:eastAsia="Arial" w:hAnsi="Arial"/>
        <w:color w:val="6B7280"/>
        <w:sz w:val="16"/>
        <w:szCs w:val="16"/>
      </w:rPr>
      <w:t xml:space="preserve">plusForta GmbH | Talstr. 24, 40217 Düsseldorf | presse@heykaution.de | www.heykaution.de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7000"/>
      <w:gridCol w:w="2638"/>
    </w:tblGrid>
    <w:tr>
      <w:tc>
        <w:tcPr>
          <w:tcW w:type="dxa" w:w="7000"/>
          <w:tcBorders>
            <w:top w:val="none" w:color="FFFFFF" w:sz="0"/>
            <w:left w:val="none" w:color="FFFFFF" w:sz="0"/>
            <w:bottom w:val="none" w:color="FFFFFF" w:sz="0"/>
            <w:right w:val="none" w:color="FFFFFF" w:sz="0"/>
          </w:tcBorders>
          <w:shd w:fill="003366" w:val="clear"/>
          <w:tcMar>
            <w:top w:type="dxa" w:w="80"/>
            <w:left w:type="dxa" w:w="140"/>
            <w:bottom w:type="dxa" w:w="80"/>
            <w:right w:type="dxa" w:w="80"/>
          </w:tcMar>
        </w:tcPr>
        <w:p>
          <w:r>
            <w:rPr>
              <w:rFonts w:ascii="Arial" w:cs="Arial" w:eastAsia="Arial" w:hAnsi="Arial"/>
              <w:b/>
              <w:bCs/>
              <w:color w:val="FFFFFF"/>
              <w:sz w:val="18"/>
              <w:szCs w:val="18"/>
            </w:rPr>
            <w:t xml:space="preserve">PRESSEMITTEILUNG</w:t>
          </w:r>
        </w:p>
      </w:tc>
      <w:tc>
        <w:tcPr>
          <w:tcW w:type="dxa" w:w="2638"/>
          <w:tcBorders>
            <w:top w:val="none" w:color="FFFFFF" w:sz="0"/>
            <w:left w:val="none" w:color="FFFFFF" w:sz="0"/>
            <w:bottom w:val="none" w:color="FFFFFF" w:sz="0"/>
            <w:right w:val="none" w:color="FFFFFF" w:sz="0"/>
          </w:tcBorders>
          <w:shd w:fill="003366" w:val="clear"/>
          <w:tcMar>
            <w:top w:type="dxa" w:w="80"/>
            <w:left w:type="dxa" w:w="80"/>
            <w:bottom w:type="dxa" w:w="80"/>
            <w:right w:type="dxa" w:w="140"/>
          </w:tcMar>
          <w:vAlign w:val="center"/>
        </w:tcPr>
        <w:p>
          <w:pPr>
            <w:jc w:val="right"/>
          </w:pPr>
          <w:r>
            <w:rPr>
              <w:rFonts w:ascii="Arial" w:cs="Arial" w:eastAsia="Arial" w:hAnsi="Arial"/>
              <w:color w:val="00A878"/>
              <w:sz w:val="18"/>
              <w:szCs w:val="18"/>
            </w:rPr>
            <w:t xml:space="preserve">heykaution.de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559be8d4339c08952d21335a2b2b5a121a96a1f.png"/><Relationship Id="rId10" Type="http://schemas.openxmlformats.org/officeDocument/2006/relationships/image" Target="media/5443e8ddbf84cb935f674f973ea8ff6a25681370.jp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2026-04-13T13:38:28.727Z</dcterms:created>
  <dcterms:modified xsi:type="dcterms:W3CDTF">2026-04-13T13:38:28.728Z</dcterms:modified>
</cp:coreProperties>
</file>

<file path=docProps/custom.xml><?xml version="1.0" encoding="utf-8"?>
<Properties xmlns="http://schemas.openxmlformats.org/officeDocument/2006/custom-properties" xmlns:vt="http://schemas.openxmlformats.org/officeDocument/2006/docPropsVTypes"/>
</file>